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CBA5D">
      <w:pPr>
        <w:spacing w:line="590" w:lineRule="exact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</w:t>
      </w:r>
    </w:p>
    <w:p w14:paraId="0B331565">
      <w:pPr>
        <w:spacing w:line="560" w:lineRule="exact"/>
        <w:ind w:left="1598" w:leftChars="304" w:hanging="960" w:hangingChars="3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83BE5A">
      <w:pPr>
        <w:pStyle w:val="4"/>
        <w:spacing w:before="0" w:beforeAutospacing="0" w:after="0" w:afterAutospacing="0" w:line="59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2026-2027年农业外来入侵物种监测和技术</w:t>
      </w:r>
    </w:p>
    <w:p w14:paraId="2FBA231C">
      <w:pPr>
        <w:pStyle w:val="4"/>
        <w:spacing w:before="0" w:beforeAutospacing="0" w:after="0" w:afterAutospacing="0" w:line="59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指导服务项目询价表</w:t>
      </w:r>
    </w:p>
    <w:p w14:paraId="30FB6087">
      <w:pPr>
        <w:spacing w:line="560" w:lineRule="exact"/>
        <w:jc w:val="center"/>
        <w:rPr>
          <w:rFonts w:hint="eastAsia" w:ascii="仿宋_GB2312" w:hAnsi="仿宋_GB2312" w:eastAsia="仿宋_GB2312" w:cs="仿宋_GB2312"/>
          <w:sz w:val="24"/>
        </w:rPr>
      </w:pPr>
    </w:p>
    <w:p w14:paraId="7F4B1A94">
      <w:pPr>
        <w:spacing w:line="320" w:lineRule="exact"/>
        <w:ind w:firstLine="240" w:firstLineChars="100"/>
        <w:rPr>
          <w:rFonts w:hint="eastAsia" w:ascii="方正楷体简体" w:hAnsi="方正楷体简体" w:eastAsia="方正楷体简体" w:cs="方正楷体简体"/>
          <w:sz w:val="24"/>
        </w:rPr>
      </w:pPr>
      <w:r>
        <w:rPr>
          <w:rFonts w:hint="eastAsia" w:ascii="方正楷体简体" w:hAnsi="方正楷体简体" w:eastAsia="方正楷体简体" w:cs="方正楷体简体"/>
          <w:sz w:val="24"/>
        </w:rPr>
        <w:t>报价单位（盖章）：                             报价时间：xx年xx月xx日</w:t>
      </w:r>
    </w:p>
    <w:tbl>
      <w:tblPr>
        <w:tblStyle w:val="5"/>
        <w:tblW w:w="8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5766"/>
        <w:gridCol w:w="1084"/>
        <w:gridCol w:w="1008"/>
      </w:tblGrid>
      <w:tr w14:paraId="2958B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6795" w:type="dxa"/>
            <w:gridSpan w:val="2"/>
            <w:noWrap w:val="0"/>
            <w:vAlign w:val="center"/>
          </w:tcPr>
          <w:p w14:paraId="515BC661">
            <w:pPr>
              <w:pStyle w:val="2"/>
              <w:spacing w:after="0" w:line="28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报价项目</w:t>
            </w:r>
          </w:p>
        </w:tc>
        <w:tc>
          <w:tcPr>
            <w:tcW w:w="1084" w:type="dxa"/>
            <w:noWrap w:val="0"/>
            <w:vAlign w:val="center"/>
          </w:tcPr>
          <w:p w14:paraId="704D308E">
            <w:pPr>
              <w:pStyle w:val="2"/>
              <w:spacing w:after="0" w:line="28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费用测算</w:t>
            </w:r>
          </w:p>
          <w:p w14:paraId="5CB43E38">
            <w:pPr>
              <w:pStyle w:val="2"/>
              <w:spacing w:after="0" w:line="28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（万元）</w:t>
            </w:r>
          </w:p>
        </w:tc>
        <w:tc>
          <w:tcPr>
            <w:tcW w:w="1008" w:type="dxa"/>
            <w:noWrap w:val="0"/>
            <w:vAlign w:val="center"/>
          </w:tcPr>
          <w:p w14:paraId="2BE321E2">
            <w:pPr>
              <w:pStyle w:val="2"/>
              <w:spacing w:after="0" w:line="28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费用明细构成</w:t>
            </w:r>
          </w:p>
        </w:tc>
      </w:tr>
      <w:tr w14:paraId="48516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2" w:hRule="atLeast"/>
          <w:jc w:val="center"/>
        </w:trPr>
        <w:tc>
          <w:tcPr>
            <w:tcW w:w="1029" w:type="dxa"/>
            <w:noWrap w:val="0"/>
            <w:vAlign w:val="center"/>
          </w:tcPr>
          <w:p w14:paraId="1B39E4FE">
            <w:pPr>
              <w:pStyle w:val="2"/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常态化监测调查</w:t>
            </w:r>
          </w:p>
        </w:tc>
        <w:tc>
          <w:tcPr>
            <w:tcW w:w="5766" w:type="dxa"/>
            <w:noWrap w:val="0"/>
            <w:vAlign w:val="center"/>
          </w:tcPr>
          <w:p w14:paraId="50D88B0D">
            <w:pPr>
              <w:pStyle w:val="2"/>
              <w:spacing w:after="0" w:line="28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在全市8个水稻生产核心区（市）县中各选取3个村（社区）的典型生境，建设24个专业监测点位，监测对象以福寿螺为主，兼顾监测区域内其他农业外来入侵植物，重点覆盖稻田及附属沟渠、相邻湿地水体。统一执行“定方法、定时间、定频率”的标准化监测流程。根据福寿螺的生物学和生态学特性，每个季度开展1次福寿螺监测，在项目实施期内每个点位开展至少5次现场人工踏查监测。对2026—2027年度各监测点位数据进行系统汇总与趋势分析，编制《成都市2026—2027年农业外来入侵物种监测数据质量评估与扩散趋势分析报告》1份。</w:t>
            </w:r>
          </w:p>
        </w:tc>
        <w:tc>
          <w:tcPr>
            <w:tcW w:w="1084" w:type="dxa"/>
            <w:noWrap w:val="0"/>
            <w:vAlign w:val="center"/>
          </w:tcPr>
          <w:p w14:paraId="22A404D5">
            <w:pPr>
              <w:pStyle w:val="2"/>
              <w:spacing w:after="0" w:line="28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2EBBA8AE">
            <w:pPr>
              <w:pStyle w:val="2"/>
              <w:spacing w:after="0" w:line="28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</w:tr>
      <w:tr w14:paraId="5309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5" w:hRule="atLeast"/>
          <w:jc w:val="center"/>
        </w:trPr>
        <w:tc>
          <w:tcPr>
            <w:tcW w:w="1029" w:type="dxa"/>
            <w:noWrap w:val="0"/>
            <w:vAlign w:val="center"/>
          </w:tcPr>
          <w:p w14:paraId="7EC5684B">
            <w:pPr>
              <w:pStyle w:val="2"/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防控技术指导与宣传培训</w:t>
            </w:r>
          </w:p>
        </w:tc>
        <w:tc>
          <w:tcPr>
            <w:tcW w:w="5766" w:type="dxa"/>
            <w:noWrap w:val="0"/>
            <w:vAlign w:val="center"/>
          </w:tcPr>
          <w:p w14:paraId="0BD04027">
            <w:pPr>
              <w:pStyle w:val="2"/>
              <w:spacing w:after="0" w:line="28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在福寿螺发生及防控关键节点为17个区（市）县开展技术指导工作，在8个设置外来入侵物种监测点位的区（市）县增加1次现场防控指导。技术指导应紧扣农时季节与物种生物学特性，分物种、分窗口期开展精准技术指导，确保指导内容与当地实际高度契合。在指导过程中，优先选择位于水稻生产区、农户防控积极性高、且措施与水稻常规种植紧密结合的点位，适当补充必要的技术标识和相关防控设施设备，使之成为可看、可学、可复制的示范点位。在关键防控节点召开线上培训会和现场会各1场，进一步提高各级防控人员科学防控意识。以“危害可防可控”为核心，编制外来入侵物种的识别与防控技术宣传资料不少于20万份，同步制作科普短视频不少于2条（单个视频时长不少于2分钟，1920*1080分辨率）。</w:t>
            </w:r>
          </w:p>
        </w:tc>
        <w:tc>
          <w:tcPr>
            <w:tcW w:w="1084" w:type="dxa"/>
            <w:noWrap w:val="0"/>
            <w:vAlign w:val="center"/>
          </w:tcPr>
          <w:p w14:paraId="12E4D7B3">
            <w:pPr>
              <w:pStyle w:val="2"/>
              <w:spacing w:after="0" w:line="28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68CEE7D6">
            <w:pPr>
              <w:pStyle w:val="2"/>
              <w:spacing w:after="0" w:line="28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1983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9" w:type="dxa"/>
            <w:noWrap w:val="0"/>
            <w:vAlign w:val="center"/>
          </w:tcPr>
          <w:p w14:paraId="6F0C7F54">
            <w:pPr>
              <w:pStyle w:val="2"/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税费</w:t>
            </w:r>
          </w:p>
        </w:tc>
        <w:tc>
          <w:tcPr>
            <w:tcW w:w="5766" w:type="dxa"/>
            <w:noWrap w:val="0"/>
            <w:vAlign w:val="center"/>
          </w:tcPr>
          <w:p w14:paraId="41F03B4E">
            <w:pPr>
              <w:pStyle w:val="2"/>
              <w:spacing w:after="0" w:line="28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项目税费</w:t>
            </w:r>
          </w:p>
        </w:tc>
        <w:tc>
          <w:tcPr>
            <w:tcW w:w="1084" w:type="dxa"/>
            <w:noWrap w:val="0"/>
            <w:vAlign w:val="center"/>
          </w:tcPr>
          <w:p w14:paraId="6A6AC3B5">
            <w:pPr>
              <w:pStyle w:val="2"/>
              <w:spacing w:after="0" w:line="28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6A58B442">
            <w:pPr>
              <w:pStyle w:val="2"/>
              <w:spacing w:after="0" w:line="28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C0D5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795" w:type="dxa"/>
            <w:gridSpan w:val="2"/>
            <w:noWrap w:val="0"/>
            <w:vAlign w:val="center"/>
          </w:tcPr>
          <w:p w14:paraId="025703F7">
            <w:pPr>
              <w:pStyle w:val="2"/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费用总计</w:t>
            </w:r>
          </w:p>
        </w:tc>
        <w:tc>
          <w:tcPr>
            <w:tcW w:w="1084" w:type="dxa"/>
            <w:noWrap w:val="0"/>
            <w:vAlign w:val="center"/>
          </w:tcPr>
          <w:p w14:paraId="7993DBE3">
            <w:pPr>
              <w:pStyle w:val="2"/>
              <w:spacing w:after="0" w:line="28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6B7B6A4D">
            <w:pPr>
              <w:pStyle w:val="2"/>
              <w:spacing w:after="0" w:line="28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14EE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029" w:type="dxa"/>
            <w:noWrap w:val="0"/>
            <w:vAlign w:val="center"/>
          </w:tcPr>
          <w:p w14:paraId="3F030445">
            <w:pPr>
              <w:pStyle w:val="2"/>
              <w:spacing w:after="0"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备注</w:t>
            </w:r>
          </w:p>
        </w:tc>
        <w:tc>
          <w:tcPr>
            <w:tcW w:w="7858" w:type="dxa"/>
            <w:gridSpan w:val="3"/>
            <w:noWrap w:val="0"/>
            <w:vAlign w:val="top"/>
          </w:tcPr>
          <w:p w14:paraId="6D93913D">
            <w:pPr>
              <w:pStyle w:val="2"/>
              <w:spacing w:after="0" w:line="28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3EA37A0F">
      <w:r>
        <w:rPr>
          <w:rFonts w:hint="eastAsia" w:ascii="方正楷体简体" w:hAnsi="方正楷体简体" w:eastAsia="方正楷体简体" w:cs="方正楷体简体"/>
          <w:sz w:val="24"/>
        </w:rPr>
        <w:t>联系人：                                        联系电话：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511E8"/>
    <w:rsid w:val="15E5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附件标题-1"/>
    <w:next w:val="1"/>
    <w:qFormat/>
    <w:uiPriority w:val="0"/>
    <w:pPr>
      <w:widowControl w:val="0"/>
      <w:spacing w:beforeLines="50" w:afterLines="50"/>
      <w:jc w:val="center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2026-07-14T02:45:00Z</dcterms:created>
  <dc:creator>摆不烂的咸鱼</dc:creator>
  <cp:lastModifiedBy>摆不烂的咸鱼</cp:lastModifiedBy>
  <dcterms:modified xsi:type="dcterms:W3CDTF">2026-07-14T02:45:33Z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F2F7697D1A7D4C488CD98F739B29CD2C_11</vt:lpwstr>
  </property>
  <property fmtid="{D5CDD505-2E9C-101B-9397-08002B2CF9AE}" pid="4" name="KSOTemplateDocerSaveRecord">
    <vt:lpwstr>eyJoZGlkIjoiMWNiZWFiNzA3OTVlY2NlZjJmNzhmMTkwMjYwMGJjZGMiLCJ1c2VySWQiOiIxNTU3NTQ0NTU4In0=</vt:lpwstr>
  </property>
</Properties>
</file>